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950A3" w14:textId="77777777" w:rsidR="00C64B1B" w:rsidRPr="005E147C" w:rsidRDefault="00C64B1B" w:rsidP="00C64B1B">
      <w:pPr>
        <w:jc w:val="center"/>
        <w:rPr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276"/>
        <w:gridCol w:w="6378"/>
        <w:gridCol w:w="2694"/>
        <w:gridCol w:w="3060"/>
      </w:tblGrid>
      <w:tr w:rsidR="00A06425" w:rsidRPr="005E147C" w14:paraId="2F5918CA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957587B" w14:textId="77777777" w:rsidR="00A06425" w:rsidRPr="005E147C" w:rsidRDefault="00A06425" w:rsidP="0051435F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F93CF2"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93CF2" w:rsidRPr="005E147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Projekt </w:t>
            </w:r>
            <w:r w:rsidR="0051435F" w:rsidRPr="005E147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ustawy o zmianie ustawy o systemie informacji w ochronie zdrowia oraz ustawy o ochronie ludności i obronie cywilnej (UD191)</w:t>
            </w:r>
            <w:r w:rsidR="0051435F"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6EA234E" w14:textId="77777777" w:rsidR="00A06425" w:rsidRPr="005E147C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6425" w:rsidRPr="005E147C" w14:paraId="08DE538C" w14:textId="77777777" w:rsidTr="005E147C">
        <w:tc>
          <w:tcPr>
            <w:tcW w:w="562" w:type="dxa"/>
            <w:shd w:val="clear" w:color="auto" w:fill="auto"/>
            <w:vAlign w:val="center"/>
          </w:tcPr>
          <w:p w14:paraId="0818D2BB" w14:textId="77777777" w:rsidR="00A06425" w:rsidRPr="005E147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58FF24" w14:textId="77777777" w:rsidR="00A06425" w:rsidRPr="005E147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40CC30" w14:textId="77777777" w:rsidR="00A06425" w:rsidRPr="005E147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0E62B8C" w14:textId="77777777" w:rsidR="00A06425" w:rsidRPr="005E147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217919" w14:textId="77777777" w:rsidR="00A06425" w:rsidRPr="005E147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60" w:type="dxa"/>
            <w:vAlign w:val="center"/>
          </w:tcPr>
          <w:p w14:paraId="642F6263" w14:textId="77777777" w:rsidR="00A06425" w:rsidRPr="005E147C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5E147C" w14:paraId="17295F71" w14:textId="77777777" w:rsidTr="005E147C">
        <w:tc>
          <w:tcPr>
            <w:tcW w:w="562" w:type="dxa"/>
            <w:shd w:val="clear" w:color="auto" w:fill="auto"/>
          </w:tcPr>
          <w:p w14:paraId="5437E4B2" w14:textId="77777777" w:rsidR="00A06425" w:rsidRPr="005E147C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F4D5B66" w14:textId="77777777" w:rsidR="00A06425" w:rsidRPr="005E147C" w:rsidRDefault="00F93CF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276" w:type="dxa"/>
            <w:shd w:val="clear" w:color="auto" w:fill="auto"/>
          </w:tcPr>
          <w:p w14:paraId="55B856FB" w14:textId="77777777" w:rsidR="00A06425" w:rsidRPr="005E147C" w:rsidRDefault="00F93CF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Art. 4</w:t>
            </w:r>
          </w:p>
        </w:tc>
        <w:tc>
          <w:tcPr>
            <w:tcW w:w="6378" w:type="dxa"/>
            <w:shd w:val="clear" w:color="auto" w:fill="auto"/>
          </w:tcPr>
          <w:p w14:paraId="1BEDD000" w14:textId="7F71DD45" w:rsidR="002E2609" w:rsidRPr="005E147C" w:rsidRDefault="002E2609" w:rsidP="001053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W art. 4 </w:t>
            </w:r>
            <w:r w:rsidR="0025593E" w:rsidRPr="005E147C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="003B055E" w:rsidRPr="005E14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5593E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wskazując na usługodawców, którzy </w:t>
            </w:r>
            <w:r w:rsidR="00BD2101" w:rsidRPr="005E147C">
              <w:rPr>
                <w:rFonts w:asciiTheme="minorHAnsi" w:hAnsiTheme="minorHAnsi" w:cstheme="minorHAnsi"/>
                <w:sz w:val="22"/>
                <w:szCs w:val="22"/>
              </w:rPr>
              <w:t>powinni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przekazywać dane, o których mowa w </w:t>
            </w:r>
            <w:r w:rsidR="0025593E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art. 24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ust. 1 pkt 6 lit. a, b, f</w:t>
            </w:r>
            <w:r w:rsidR="001053DF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oraz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g</w:t>
            </w:r>
            <w:r w:rsidR="0025593E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593E" w:rsidRPr="005E147C">
              <w:rPr>
                <w:rFonts w:asciiTheme="minorHAnsi" w:hAnsiTheme="minorHAnsi" w:cstheme="minorHAnsi"/>
                <w:i/>
                <w:sz w:val="22"/>
                <w:szCs w:val="22"/>
              </w:rPr>
              <w:t>ustawy z dnia 28 kwietnia 2011 r. o systemie informacji w ochronie zdrowia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, odesłano do proponowanego projektem brzmienia </w:t>
            </w:r>
            <w:r w:rsidRPr="005E147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art. 24 </w:t>
            </w:r>
            <w:r w:rsidRPr="005E147C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ust. 4</w:t>
            </w:r>
            <w:r w:rsidRPr="005E147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ustawy o systemie informacji w ochronie zdrowia.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53DF" w:rsidRPr="005E147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3B0F4A" w:rsidRPr="005E147C">
              <w:rPr>
                <w:rFonts w:asciiTheme="minorHAnsi" w:hAnsiTheme="minorHAnsi" w:cstheme="minorHAnsi"/>
                <w:sz w:val="22"/>
                <w:szCs w:val="22"/>
              </w:rPr>
              <w:t>rzepis ten wskazuje jedynie, że</w:t>
            </w:r>
            <w:r w:rsidR="00014DCB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5E147C">
              <w:rPr>
                <w:rFonts w:asciiTheme="minorHAnsi" w:hAnsiTheme="minorHAnsi" w:cstheme="minorHAnsi"/>
                <w:i/>
                <w:sz w:val="22"/>
                <w:szCs w:val="22"/>
              </w:rPr>
              <w:t>dane dotyczące wyrobów medycznych są przekazywane również z</w:t>
            </w:r>
            <w:r w:rsidR="003B0F4A" w:rsidRPr="005E147C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Pr="005E147C">
              <w:rPr>
                <w:rFonts w:asciiTheme="minorHAnsi" w:hAnsiTheme="minorHAnsi" w:cstheme="minorHAnsi"/>
                <w:i/>
                <w:sz w:val="22"/>
                <w:szCs w:val="22"/>
              </w:rPr>
              <w:t>systemów teleinformatycznych Narodowego Funduszu Zdrowia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D2101" w:rsidRPr="005E147C">
              <w:rPr>
                <w:rFonts w:asciiTheme="minorHAnsi" w:hAnsiTheme="minorHAnsi" w:cstheme="minorHAnsi"/>
                <w:sz w:val="22"/>
                <w:szCs w:val="22"/>
              </w:rPr>
              <w:t>Nie jest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D2101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zatem </w:t>
            </w:r>
            <w:r w:rsidR="001053DF" w:rsidRPr="005E147C">
              <w:rPr>
                <w:rFonts w:asciiTheme="minorHAnsi" w:hAnsiTheme="minorHAnsi" w:cstheme="minorHAnsi"/>
                <w:sz w:val="22"/>
                <w:szCs w:val="22"/>
              </w:rPr>
              <w:t>wiadomo</w:t>
            </w:r>
            <w:r w:rsidR="003B055E" w:rsidRPr="005E14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53DF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o jakich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usługodawc</w:t>
            </w:r>
            <w:r w:rsidR="001053DF" w:rsidRPr="005E147C">
              <w:rPr>
                <w:rFonts w:asciiTheme="minorHAnsi" w:hAnsiTheme="minorHAnsi" w:cstheme="minorHAnsi"/>
                <w:sz w:val="22"/>
                <w:szCs w:val="22"/>
              </w:rPr>
              <w:t>ów chodzi Projektodawcy w ww. odesłaniu.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4DCB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Intencja wyrażona w uzasadnieniu nie znajduje odzwierciedlenia również przy zastosowaniu odesłania do proponowanego art. 24 </w:t>
            </w:r>
            <w:r w:rsidR="00BD2101" w:rsidRPr="005E147C">
              <w:rPr>
                <w:rFonts w:asciiTheme="minorHAnsi" w:hAnsiTheme="minorHAnsi" w:cstheme="minorHAnsi"/>
                <w:sz w:val="22"/>
                <w:szCs w:val="22"/>
              </w:rPr>
              <w:t>ust. 5</w:t>
            </w:r>
            <w:r w:rsidR="00014DCB" w:rsidRPr="005E147C">
              <w:rPr>
                <w:rFonts w:asciiTheme="minorHAnsi" w:hAnsiTheme="minorHAnsi" w:cstheme="minorHAnsi"/>
                <w:sz w:val="22"/>
                <w:szCs w:val="22"/>
              </w:rPr>
              <w:t>, w którym jest z kolei</w:t>
            </w:r>
            <w:r w:rsidR="00BD2101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mowa o usługodawcach, którzy </w:t>
            </w:r>
            <w:r w:rsidRPr="005E147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przekazują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danych</w:t>
            </w:r>
            <w:r w:rsidR="00014DCB" w:rsidRPr="005E147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4DCB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Brak jest zatem przepisu, który jednoznacznie wskazywałby adresatów normy </w:t>
            </w:r>
            <w:r w:rsidR="0025593E" w:rsidRPr="005E147C">
              <w:rPr>
                <w:rFonts w:asciiTheme="minorHAnsi" w:hAnsiTheme="minorHAnsi" w:cstheme="minorHAnsi"/>
                <w:sz w:val="22"/>
                <w:szCs w:val="22"/>
              </w:rPr>
              <w:t>zawartej</w:t>
            </w:r>
            <w:r w:rsidR="00014DCB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3B0F4A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art. 4. </w:t>
            </w:r>
          </w:p>
          <w:p w14:paraId="0D514A4C" w14:textId="77777777" w:rsidR="00A06425" w:rsidRPr="005E147C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029C053A" w14:textId="77777777" w:rsidR="00A06425" w:rsidRPr="005E147C" w:rsidRDefault="00F93CF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Należy skorygować </w:t>
            </w:r>
            <w:r w:rsidR="00BD2101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odesłanie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zgodnie z intencją Projektodawcy</w:t>
            </w:r>
            <w:r w:rsidR="00BD2101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, tak aby nie budziło wątpliwości, których usługodawców będzie dotyczył ten przepis. </w:t>
            </w:r>
          </w:p>
        </w:tc>
        <w:tc>
          <w:tcPr>
            <w:tcW w:w="3060" w:type="dxa"/>
          </w:tcPr>
          <w:p w14:paraId="4E9DCF80" w14:textId="77777777" w:rsidR="00A06425" w:rsidRPr="005E147C" w:rsidRDefault="002C2E09" w:rsidP="002C2E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Uwaga uwzględniona przekazujemy zmodyfikowany projekt.</w:t>
            </w:r>
          </w:p>
          <w:p w14:paraId="7855A41C" w14:textId="00C9C199" w:rsidR="00C51B92" w:rsidRPr="005E147C" w:rsidRDefault="00C51B92" w:rsidP="002C2E0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Skorygowany został art. 4, w którym błędnie odesłano do proponowanego projektem brzmienia </w:t>
            </w:r>
            <w:r w:rsidRPr="005E147C">
              <w:rPr>
                <w:rFonts w:asciiTheme="minorHAnsi" w:hAnsiTheme="minorHAnsi" w:cstheme="minorHAnsi"/>
                <w:iCs/>
                <w:sz w:val="22"/>
                <w:szCs w:val="22"/>
              </w:rPr>
              <w:t>art. 24 ust. 4 ustawy o systemie informacji w ochronie zdrowia.</w:t>
            </w:r>
          </w:p>
          <w:p w14:paraId="36813DB7" w14:textId="5714CBEB" w:rsidR="00C51B92" w:rsidRPr="005E147C" w:rsidRDefault="00C51B92" w:rsidP="002C2E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iCs/>
                <w:sz w:val="22"/>
                <w:szCs w:val="22"/>
              </w:rPr>
              <w:t>Ponadto zmodyfikowano proponowane brzmienie art. 24  ust. 5 i dodano ust 6, w którym w sposób jednoznaczny wskazano adresatów normy, poprzez odesłanie do ustawy o działalności leczniczej.</w:t>
            </w:r>
          </w:p>
        </w:tc>
      </w:tr>
      <w:tr w:rsidR="00A06425" w:rsidRPr="005E147C" w14:paraId="5094B466" w14:textId="77777777" w:rsidTr="005E147C">
        <w:tc>
          <w:tcPr>
            <w:tcW w:w="562" w:type="dxa"/>
            <w:shd w:val="clear" w:color="auto" w:fill="auto"/>
          </w:tcPr>
          <w:p w14:paraId="293F20E2" w14:textId="77777777" w:rsidR="00A06425" w:rsidRPr="005E147C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5DD45BB" w14:textId="77777777" w:rsidR="00A06425" w:rsidRPr="005E147C" w:rsidRDefault="00014DCB" w:rsidP="005E1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276" w:type="dxa"/>
            <w:shd w:val="clear" w:color="auto" w:fill="auto"/>
          </w:tcPr>
          <w:p w14:paraId="44C909A6" w14:textId="77777777" w:rsidR="00A06425" w:rsidRPr="005E147C" w:rsidRDefault="00276CB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Art. 4</w:t>
            </w:r>
          </w:p>
        </w:tc>
        <w:tc>
          <w:tcPr>
            <w:tcW w:w="6378" w:type="dxa"/>
            <w:shd w:val="clear" w:color="auto" w:fill="auto"/>
          </w:tcPr>
          <w:p w14:paraId="6F8402BD" w14:textId="111D7209" w:rsidR="00276CBC" w:rsidRPr="005E147C" w:rsidRDefault="0025593E" w:rsidP="00276C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Dodatkowo </w:t>
            </w:r>
            <w:r w:rsidR="00276CBC" w:rsidRPr="005E147C">
              <w:rPr>
                <w:rFonts w:asciiTheme="minorHAnsi" w:hAnsiTheme="minorHAnsi" w:cstheme="minorHAnsi"/>
                <w:sz w:val="22"/>
                <w:szCs w:val="22"/>
              </w:rPr>
              <w:t>w odniesieniu do art. 4 projektowanej ustawy należy zauważyć, że wskazany w tym przepisie 6 miesięczny okres dostosowawczy powinien być liczony od dnia wejścia w życie ustawy, a nie rozporządzenia, które co do zasady powinno wejść w życie w tym samym dniu co ustawa</w:t>
            </w:r>
            <w:r w:rsidR="003B055E" w:rsidRPr="005E14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76CBC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055E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której </w:t>
            </w:r>
            <w:r w:rsidR="00276CBC"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na podstawie jest wydawane. </w:t>
            </w:r>
          </w:p>
          <w:p w14:paraId="3669F9E8" w14:textId="77777777" w:rsidR="00A06425" w:rsidRPr="005E147C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AA50CD4" w14:textId="3AE64593" w:rsidR="00A06425" w:rsidRPr="005E147C" w:rsidRDefault="003B055E" w:rsidP="003D58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Proponowany t</w:t>
            </w:r>
            <w:r w:rsidR="00014DCB" w:rsidRPr="005E147C">
              <w:rPr>
                <w:rFonts w:asciiTheme="minorHAnsi" w:hAnsiTheme="minorHAnsi" w:cstheme="minorHAnsi"/>
                <w:sz w:val="22"/>
                <w:szCs w:val="22"/>
              </w:rPr>
              <w:t>ermin należy uzależnić od dnia wejścia w życie ustawy.</w:t>
            </w:r>
          </w:p>
        </w:tc>
        <w:tc>
          <w:tcPr>
            <w:tcW w:w="3060" w:type="dxa"/>
          </w:tcPr>
          <w:p w14:paraId="4E826AE3" w14:textId="77777777" w:rsidR="00A06425" w:rsidRPr="005E147C" w:rsidRDefault="002C2E09" w:rsidP="002C2E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Uwaga uwzględniona przekazujemy zmodyfikowany projekt.</w:t>
            </w:r>
          </w:p>
          <w:p w14:paraId="48E9E8CC" w14:textId="1B07D77C" w:rsidR="00C51B92" w:rsidRPr="005E147C" w:rsidRDefault="00C51B92" w:rsidP="002C2E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Okres dostosowawczy odnosi się do ustawy.</w:t>
            </w:r>
          </w:p>
        </w:tc>
      </w:tr>
      <w:tr w:rsidR="005E147C" w:rsidRPr="005E147C" w14:paraId="3627BE9C" w14:textId="77777777" w:rsidTr="005E147C">
        <w:tc>
          <w:tcPr>
            <w:tcW w:w="562" w:type="dxa"/>
            <w:shd w:val="clear" w:color="auto" w:fill="auto"/>
          </w:tcPr>
          <w:p w14:paraId="0A307547" w14:textId="366B4321" w:rsidR="005E147C" w:rsidRPr="005E147C" w:rsidRDefault="005E147C" w:rsidP="005E147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680390E9" w14:textId="6B0994EA" w:rsidR="005E147C" w:rsidRPr="005E147C" w:rsidRDefault="005E147C" w:rsidP="005E147C">
            <w:pPr>
              <w:spacing w:before="60" w:after="60"/>
              <w:ind w:left="-227" w:right="-22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Ministerstwo</w:t>
            </w:r>
          </w:p>
          <w:p w14:paraId="000FEA1B" w14:textId="4F391F99" w:rsidR="005E147C" w:rsidRPr="005E147C" w:rsidRDefault="005E147C" w:rsidP="005E147C">
            <w:pPr>
              <w:spacing w:before="60" w:after="60"/>
              <w:ind w:left="-227" w:right="-22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Finansów</w:t>
            </w:r>
          </w:p>
        </w:tc>
        <w:tc>
          <w:tcPr>
            <w:tcW w:w="1276" w:type="dxa"/>
            <w:shd w:val="clear" w:color="auto" w:fill="auto"/>
          </w:tcPr>
          <w:p w14:paraId="7D94C1F5" w14:textId="00F11F4C" w:rsidR="005E147C" w:rsidRPr="005E147C" w:rsidRDefault="005E147C" w:rsidP="005E14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6378" w:type="dxa"/>
            <w:shd w:val="clear" w:color="auto" w:fill="auto"/>
          </w:tcPr>
          <w:p w14:paraId="4EE1BE07" w14:textId="240AFC2C" w:rsidR="005E147C" w:rsidRPr="005E147C" w:rsidRDefault="005E147C" w:rsidP="005E14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Stosownie do zamieszczonego zapewnienia w pkt 6 OSR o tym, że „Skutki wejścia w życie ustawy zostaną zabezpieczone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ramach środków ustalonych na każdy rok zgodnie z art. 131c ustawy o świadczeniach opieki zdrowotnej finansowanych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ze środków publicznych bez konieczności ich zwiększania,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tym w ramach niezwiększonego funduszu wynagrodzeń”, należy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wykreślić wskazane wartości w tabeli „Skutki w okresie 10 lat od wejścia w życie zmian” przenosząc je do części „Dodatkowe informacje” w pkt 6 OSR. Zauważenia wymaga,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że finansując realizację proponowanych przepisów w ramach tzw. ustawy 7% PKB nie będzie ona dodatkowo wpływać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br/>
              <w:t>na sektor finansów publicznych.</w:t>
            </w:r>
          </w:p>
        </w:tc>
        <w:tc>
          <w:tcPr>
            <w:tcW w:w="2694" w:type="dxa"/>
            <w:shd w:val="clear" w:color="auto" w:fill="auto"/>
          </w:tcPr>
          <w:p w14:paraId="4543FAEB" w14:textId="5478EED6" w:rsidR="005E147C" w:rsidRPr="005E147C" w:rsidRDefault="005E147C" w:rsidP="005E14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Korekta OSR we wskazanym zakresie.</w:t>
            </w:r>
          </w:p>
        </w:tc>
        <w:tc>
          <w:tcPr>
            <w:tcW w:w="3060" w:type="dxa"/>
          </w:tcPr>
          <w:p w14:paraId="3E6F7331" w14:textId="77777777" w:rsidR="005E147C" w:rsidRPr="005E147C" w:rsidRDefault="005E147C" w:rsidP="005E14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Koszty utrzymania systemu będą finansowane z budżetu Państwa w ramach części 46 Zdrowie. W związku z tym, wydaje się zasadne pozostawienie stosownych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zapisów dotyczących wpływu na sektor finansów publicznych.</w:t>
            </w:r>
          </w:p>
          <w:p w14:paraId="5BFDE42F" w14:textId="54A2E469" w:rsidR="005E147C" w:rsidRPr="005E147C" w:rsidRDefault="005E147C" w:rsidP="005E14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Jednakże jeśli w opinii Ministerstwa Finansów  takie ujęcie w OSR jest niezbędne i uzasadnione ze względów metodologicznych uwzględnimy uwagę i przeniesiemy informację o planowanych kosztach do części opisowej „Dodatkowe informacje”.</w:t>
            </w:r>
          </w:p>
        </w:tc>
      </w:tr>
      <w:tr w:rsidR="005E147C" w:rsidRPr="005E147C" w14:paraId="44E9E4C2" w14:textId="77777777" w:rsidTr="005E147C">
        <w:tc>
          <w:tcPr>
            <w:tcW w:w="562" w:type="dxa"/>
            <w:shd w:val="clear" w:color="auto" w:fill="auto"/>
          </w:tcPr>
          <w:p w14:paraId="2DC830DA" w14:textId="4BFB1411" w:rsidR="005E147C" w:rsidRPr="005E147C" w:rsidRDefault="005E147C" w:rsidP="005E147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418" w:type="dxa"/>
            <w:shd w:val="clear" w:color="auto" w:fill="auto"/>
          </w:tcPr>
          <w:p w14:paraId="7406EE4A" w14:textId="6188D437" w:rsidR="005E147C" w:rsidRPr="005E147C" w:rsidRDefault="005E147C" w:rsidP="005E147C">
            <w:pPr>
              <w:spacing w:before="60" w:after="60"/>
              <w:ind w:left="-227" w:right="-22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276" w:type="dxa"/>
            <w:shd w:val="clear" w:color="auto" w:fill="auto"/>
          </w:tcPr>
          <w:p w14:paraId="48F07795" w14:textId="5CF2A0C7" w:rsidR="005E147C" w:rsidRPr="005E147C" w:rsidRDefault="005E147C" w:rsidP="005E14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6378" w:type="dxa"/>
            <w:shd w:val="clear" w:color="auto" w:fill="auto"/>
          </w:tcPr>
          <w:p w14:paraId="4C285BC8" w14:textId="46D6CCAC" w:rsidR="005E147C" w:rsidRPr="005E147C" w:rsidRDefault="005E147C" w:rsidP="005E14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 xml:space="preserve">W OSR do projektu ustawy określono, iż wydatki, związane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ustawą, będą dofinansowane w 79,71% ze środków UE, natomiast w 20,29% - z budżetu państwa. W dalszej części wymienia się zadania, które będą finansowane z ww. środków, w tym m.in. wydatki osobowe oraz wydatki bieżące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majątkowe, na które będą się składać m.in.: koszty wytworzenia i uruchomienia systemu, zapewnienie utrzymania i wsparcia, utrzymanie infrastruktury teleinformatycznej, koszty zakupu infrastruktury teleinformatycznej oraz koszty zakupu profesjonalnych narzędzi bazodanowych i licencji,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a w kolejnych latach - koszt asysty technicznej, konserwacji oraz indeksacji kosztów, a także koszty odtworzenia infrastruktury. Brak jest jednocześnie wyraźnego stwierdzenia, czy powyższe środki będą także pokrywać wydatki świadczeniodawców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(tj. podmiotów leczniczych) w zakresie dostosowania </w:t>
            </w:r>
            <w:r w:rsidRPr="005E147C">
              <w:rPr>
                <w:rFonts w:asciiTheme="minorHAnsi" w:hAnsiTheme="minorHAnsi" w:cstheme="minorHAnsi"/>
                <w:sz w:val="22"/>
                <w:szCs w:val="22"/>
              </w:rPr>
              <w:br/>
              <w:t>i integracji wielu systemów.</w:t>
            </w:r>
          </w:p>
        </w:tc>
        <w:tc>
          <w:tcPr>
            <w:tcW w:w="2694" w:type="dxa"/>
            <w:shd w:val="clear" w:color="auto" w:fill="auto"/>
          </w:tcPr>
          <w:p w14:paraId="4355DA87" w14:textId="3976BEB9" w:rsidR="005E147C" w:rsidRPr="005E147C" w:rsidRDefault="005E147C" w:rsidP="005E14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Korekta OSR we wskazanym zakresie.</w:t>
            </w:r>
          </w:p>
        </w:tc>
        <w:tc>
          <w:tcPr>
            <w:tcW w:w="3060" w:type="dxa"/>
          </w:tcPr>
          <w:p w14:paraId="4FAD42D6" w14:textId="1B7F89B0" w:rsidR="005E147C" w:rsidRPr="005E147C" w:rsidRDefault="005E147C" w:rsidP="005E14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147C">
              <w:rPr>
                <w:rFonts w:asciiTheme="minorHAnsi" w:hAnsiTheme="minorHAnsi" w:cstheme="minorHAnsi"/>
                <w:sz w:val="22"/>
                <w:szCs w:val="22"/>
              </w:rPr>
              <w:t>Uwaga uwzględniona. Skorygowano OSR.</w:t>
            </w:r>
          </w:p>
        </w:tc>
      </w:tr>
    </w:tbl>
    <w:p w14:paraId="103A0549" w14:textId="77777777" w:rsidR="00C64B1B" w:rsidRPr="005E147C" w:rsidRDefault="00C64B1B" w:rsidP="00C64B1B">
      <w:pPr>
        <w:jc w:val="center"/>
        <w:rPr>
          <w:sz w:val="22"/>
          <w:szCs w:val="22"/>
        </w:rPr>
      </w:pPr>
    </w:p>
    <w:sectPr w:rsidR="00C64B1B" w:rsidRPr="005E147C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4DCB"/>
    <w:rsid w:val="00034258"/>
    <w:rsid w:val="001053DF"/>
    <w:rsid w:val="00140BE8"/>
    <w:rsid w:val="0019648E"/>
    <w:rsid w:val="0025593E"/>
    <w:rsid w:val="002715B2"/>
    <w:rsid w:val="00276CBC"/>
    <w:rsid w:val="002C2E09"/>
    <w:rsid w:val="002E2609"/>
    <w:rsid w:val="003124D1"/>
    <w:rsid w:val="003B055E"/>
    <w:rsid w:val="003B0F4A"/>
    <w:rsid w:val="003B4105"/>
    <w:rsid w:val="003D58CD"/>
    <w:rsid w:val="0044192C"/>
    <w:rsid w:val="004B4D7D"/>
    <w:rsid w:val="004D086F"/>
    <w:rsid w:val="0051435F"/>
    <w:rsid w:val="005E147C"/>
    <w:rsid w:val="005F6527"/>
    <w:rsid w:val="00645FD6"/>
    <w:rsid w:val="00653D32"/>
    <w:rsid w:val="00662931"/>
    <w:rsid w:val="006705EC"/>
    <w:rsid w:val="006A5FD2"/>
    <w:rsid w:val="006E16E9"/>
    <w:rsid w:val="007F61BB"/>
    <w:rsid w:val="00807385"/>
    <w:rsid w:val="00944932"/>
    <w:rsid w:val="009E5FDB"/>
    <w:rsid w:val="00A06425"/>
    <w:rsid w:val="00AC7796"/>
    <w:rsid w:val="00B76B84"/>
    <w:rsid w:val="00B871B6"/>
    <w:rsid w:val="00BD2101"/>
    <w:rsid w:val="00C51B92"/>
    <w:rsid w:val="00C64B1B"/>
    <w:rsid w:val="00C7481C"/>
    <w:rsid w:val="00CB2439"/>
    <w:rsid w:val="00CD5EB0"/>
    <w:rsid w:val="00E11683"/>
    <w:rsid w:val="00E14C33"/>
    <w:rsid w:val="00EF45DC"/>
    <w:rsid w:val="00F9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CE0A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Księżnik Aleksandra</cp:lastModifiedBy>
  <cp:revision>2</cp:revision>
  <dcterms:created xsi:type="dcterms:W3CDTF">2025-05-23T12:49:00Z</dcterms:created>
  <dcterms:modified xsi:type="dcterms:W3CDTF">2025-05-23T12:49:00Z</dcterms:modified>
</cp:coreProperties>
</file>